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43B" w:rsidRPr="00CC21C7" w:rsidRDefault="00356E7F" w:rsidP="00356E7F">
      <w:pPr>
        <w:rPr>
          <w:rFonts w:ascii="Cambria" w:hAnsi="Cambria" w:cs="Tahoma"/>
          <w:b/>
          <w:i/>
          <w:sz w:val="24"/>
          <w:szCs w:val="24"/>
        </w:rPr>
      </w:pPr>
      <w:r w:rsidRPr="00CC21C7">
        <w:rPr>
          <w:rFonts w:ascii="Cambria" w:hAnsi="Cambria" w:cs="Tahoma"/>
          <w:b/>
          <w:i/>
          <w:sz w:val="24"/>
          <w:szCs w:val="24"/>
        </w:rPr>
        <w:t xml:space="preserve">UN PATRIMONIO DI STORIE. </w:t>
      </w:r>
    </w:p>
    <w:p w:rsidR="00356E7F" w:rsidRPr="00CC21C7" w:rsidRDefault="00356E7F" w:rsidP="00356E7F">
      <w:pPr>
        <w:rPr>
          <w:rFonts w:ascii="Cambria" w:hAnsi="Cambria" w:cs="Tahoma"/>
          <w:b/>
          <w:i/>
          <w:sz w:val="24"/>
          <w:szCs w:val="24"/>
        </w:rPr>
      </w:pPr>
      <w:r w:rsidRPr="00CC21C7">
        <w:rPr>
          <w:rFonts w:ascii="Cambria" w:hAnsi="Cambria" w:cs="Tahoma"/>
          <w:b/>
          <w:i/>
          <w:sz w:val="24"/>
          <w:szCs w:val="24"/>
        </w:rPr>
        <w:t>La narrazione</w:t>
      </w:r>
      <w:bookmarkStart w:id="0" w:name="_GoBack"/>
      <w:bookmarkEnd w:id="0"/>
      <w:r w:rsidRPr="00CC21C7">
        <w:rPr>
          <w:rFonts w:ascii="Cambria" w:hAnsi="Cambria" w:cs="Tahoma"/>
          <w:b/>
          <w:i/>
          <w:sz w:val="24"/>
          <w:szCs w:val="24"/>
        </w:rPr>
        <w:t xml:space="preserve"> nei musei, una risorsa per la cittadinanza culturale</w:t>
      </w:r>
    </w:p>
    <w:p w:rsidR="00B3143B" w:rsidRPr="00CC21C7" w:rsidRDefault="00B3143B" w:rsidP="00356E7F">
      <w:pPr>
        <w:rPr>
          <w:rFonts w:ascii="Cambria" w:hAnsi="Cambria" w:cs="Tahoma"/>
          <w:sz w:val="24"/>
          <w:szCs w:val="24"/>
        </w:rPr>
      </w:pPr>
    </w:p>
    <w:p w:rsidR="00356E7F" w:rsidRPr="00CC21C7" w:rsidRDefault="00356E7F" w:rsidP="00356E7F">
      <w:pPr>
        <w:rPr>
          <w:rFonts w:ascii="Cambria" w:hAnsi="Cambria" w:cs="Tahoma"/>
          <w:sz w:val="24"/>
          <w:szCs w:val="24"/>
        </w:rPr>
      </w:pPr>
      <w:r w:rsidRPr="00CC21C7">
        <w:rPr>
          <w:rFonts w:ascii="Cambria" w:hAnsi="Cambria" w:cs="Tahoma"/>
          <w:sz w:val="24"/>
          <w:szCs w:val="24"/>
        </w:rPr>
        <w:t>a cura di S. Bodo, S. Mascheroni e M. G. Panigada</w:t>
      </w:r>
    </w:p>
    <w:p w:rsidR="00356E7F" w:rsidRPr="00CC21C7" w:rsidRDefault="00356E7F" w:rsidP="00356E7F">
      <w:pPr>
        <w:rPr>
          <w:rFonts w:ascii="Cambria" w:hAnsi="Cambria" w:cs="Tahoma"/>
          <w:sz w:val="24"/>
          <w:szCs w:val="24"/>
        </w:rPr>
      </w:pPr>
      <w:r w:rsidRPr="00CC21C7">
        <w:rPr>
          <w:rFonts w:ascii="Cambria" w:hAnsi="Cambria" w:cs="Tahoma"/>
          <w:sz w:val="24"/>
          <w:szCs w:val="24"/>
        </w:rPr>
        <w:t>(</w:t>
      </w:r>
      <w:proofErr w:type="spellStart"/>
      <w:r w:rsidRPr="00CC21C7">
        <w:rPr>
          <w:rFonts w:ascii="Cambria" w:hAnsi="Cambria" w:cs="Tahoma"/>
          <w:sz w:val="24"/>
          <w:szCs w:val="24"/>
        </w:rPr>
        <w:t>Mimesis</w:t>
      </w:r>
      <w:proofErr w:type="spellEnd"/>
      <w:r w:rsidRPr="00CC21C7">
        <w:rPr>
          <w:rFonts w:ascii="Cambria" w:hAnsi="Cambria" w:cs="Tahoma"/>
          <w:sz w:val="24"/>
          <w:szCs w:val="24"/>
        </w:rPr>
        <w:t xml:space="preserve"> Edizioni, </w:t>
      </w:r>
      <w:r w:rsidR="00211BB7" w:rsidRPr="00CC21C7">
        <w:rPr>
          <w:rFonts w:ascii="Cambria" w:hAnsi="Cambria" w:cs="Tahoma"/>
          <w:sz w:val="24"/>
          <w:szCs w:val="24"/>
        </w:rPr>
        <w:t xml:space="preserve">Collana Eterotopie, </w:t>
      </w:r>
      <w:r w:rsidRPr="00CC21C7">
        <w:rPr>
          <w:rFonts w:ascii="Cambria" w:hAnsi="Cambria" w:cs="Tahoma"/>
          <w:sz w:val="24"/>
          <w:szCs w:val="24"/>
        </w:rPr>
        <w:t>Milano 2016)</w:t>
      </w:r>
    </w:p>
    <w:p w:rsidR="00356E7F" w:rsidRPr="00CC21C7" w:rsidRDefault="00356E7F" w:rsidP="00356E7F">
      <w:pPr>
        <w:rPr>
          <w:rFonts w:ascii="Cambria" w:hAnsi="Cambria" w:cs="Tahoma"/>
          <w:b/>
          <w:sz w:val="24"/>
          <w:szCs w:val="24"/>
        </w:rPr>
      </w:pPr>
    </w:p>
    <w:p w:rsidR="00356E7F" w:rsidRPr="00CC21C7" w:rsidRDefault="00046470" w:rsidP="00356E7F">
      <w:pPr>
        <w:rPr>
          <w:rFonts w:ascii="Cambria" w:hAnsi="Cambria" w:cs="Tahoma"/>
          <w:b/>
          <w:sz w:val="24"/>
          <w:szCs w:val="24"/>
        </w:rPr>
      </w:pPr>
      <w:r w:rsidRPr="00CC21C7">
        <w:rPr>
          <w:rFonts w:ascii="Cambria" w:hAnsi="Cambria"/>
          <w:b/>
          <w:noProof/>
          <w:sz w:val="24"/>
          <w:szCs w:val="24"/>
          <w:lang w:eastAsia="it-IT"/>
        </w:rPr>
        <w:drawing>
          <wp:inline distT="0" distB="0" distL="0" distR="0" wp14:anchorId="79DFC250" wp14:editId="182E7BEA">
            <wp:extent cx="2924175" cy="4382135"/>
            <wp:effectExtent l="1905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38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470" w:rsidRPr="00CC21C7" w:rsidRDefault="00046470" w:rsidP="00356E7F">
      <w:pPr>
        <w:rPr>
          <w:rFonts w:ascii="Cambria" w:hAnsi="Cambria" w:cs="Tahoma"/>
          <w:b/>
          <w:sz w:val="24"/>
          <w:szCs w:val="24"/>
        </w:rPr>
      </w:pPr>
    </w:p>
    <w:p w:rsidR="00356E7F" w:rsidRPr="00CC21C7" w:rsidRDefault="00356E7F" w:rsidP="00356E7F">
      <w:pPr>
        <w:rPr>
          <w:rFonts w:ascii="Cambria" w:hAnsi="Cambria" w:cs="Tahoma"/>
          <w:sz w:val="24"/>
          <w:szCs w:val="24"/>
        </w:rPr>
      </w:pPr>
      <w:r w:rsidRPr="00CC21C7">
        <w:rPr>
          <w:rFonts w:ascii="Cambria" w:hAnsi="Cambria" w:cs="Tahoma"/>
          <w:sz w:val="24"/>
          <w:szCs w:val="24"/>
        </w:rPr>
        <w:t xml:space="preserve">Da quando ha fatto il suo primo ingresso nei musei, la narrazione in chiave autobiografica si sta rivelando non solo strumento particolarmente duttile e congeniale alla mediazione del patrimonio culturale, ma vera e propria risorsa per la cittadinanza attiva, l’alfabetizzazione critica nell’età adulta e la creazione di “nuove appartenenze”. </w:t>
      </w:r>
    </w:p>
    <w:p w:rsidR="00356E7F" w:rsidRPr="00CC21C7" w:rsidRDefault="00356E7F" w:rsidP="00356E7F">
      <w:pPr>
        <w:rPr>
          <w:rFonts w:ascii="Cambria" w:hAnsi="Cambria" w:cs="Tahoma"/>
          <w:sz w:val="24"/>
          <w:szCs w:val="24"/>
        </w:rPr>
      </w:pPr>
      <w:r w:rsidRPr="00CC21C7">
        <w:rPr>
          <w:rFonts w:ascii="Cambria" w:hAnsi="Cambria" w:cs="Tahoma"/>
          <w:sz w:val="24"/>
          <w:szCs w:val="24"/>
        </w:rPr>
        <w:t>Nella prima parte, il volume indaga e restituisce la peculiarità dello strumento narrativo in ambito museale, capace di “rimettere in circolo” le storie che si intrecciano in ogni opera e testimonianza patrimoniale, e di creare nuove risonanze con i vissuti e i “patrimoni” delle persone.</w:t>
      </w:r>
      <w:r w:rsidR="00E23E53" w:rsidRPr="00CC21C7">
        <w:rPr>
          <w:rFonts w:ascii="Cambria" w:hAnsi="Cambria" w:cs="Tahoma"/>
          <w:sz w:val="24"/>
          <w:szCs w:val="24"/>
        </w:rPr>
        <w:t xml:space="preserve"> I punti di vista restituiti </w:t>
      </w:r>
      <w:r w:rsidR="00423906" w:rsidRPr="00CC21C7">
        <w:rPr>
          <w:rFonts w:ascii="Cambria" w:hAnsi="Cambria" w:cs="Tahoma"/>
          <w:sz w:val="24"/>
          <w:szCs w:val="24"/>
        </w:rPr>
        <w:t xml:space="preserve">in questi saggi introduttivi </w:t>
      </w:r>
      <w:r w:rsidR="00E23E53" w:rsidRPr="00CC21C7">
        <w:rPr>
          <w:rFonts w:ascii="Cambria" w:hAnsi="Cambria" w:cs="Tahoma"/>
          <w:sz w:val="24"/>
          <w:szCs w:val="24"/>
        </w:rPr>
        <w:t xml:space="preserve">sono quelli dell’istituzione museale e di chi vi lavora, dei “narratori” </w:t>
      </w:r>
      <w:r w:rsidR="00E42458" w:rsidRPr="00CC21C7">
        <w:rPr>
          <w:rFonts w:ascii="Cambria" w:hAnsi="Cambria" w:cs="Tahoma"/>
          <w:sz w:val="24"/>
          <w:szCs w:val="24"/>
        </w:rPr>
        <w:t xml:space="preserve">(educatori e mediatori museali in larga parte, ma anche “semplici” partecipanti, persone che in molti casi facevano il loro primo ingresso in un museo) </w:t>
      </w:r>
      <w:r w:rsidR="00E23E53" w:rsidRPr="00CC21C7">
        <w:rPr>
          <w:rFonts w:ascii="Cambria" w:hAnsi="Cambria" w:cs="Tahoma"/>
          <w:sz w:val="24"/>
          <w:szCs w:val="24"/>
        </w:rPr>
        <w:t xml:space="preserve">e di chi li ha accompagnati in un vero e proprio viaggio alla scoperta </w:t>
      </w:r>
      <w:r w:rsidR="00E42458" w:rsidRPr="00CC21C7">
        <w:rPr>
          <w:rFonts w:ascii="Cambria" w:hAnsi="Cambria" w:cs="Tahoma"/>
          <w:sz w:val="24"/>
          <w:szCs w:val="24"/>
        </w:rPr>
        <w:t>dell’arte del narrare.</w:t>
      </w:r>
    </w:p>
    <w:p w:rsidR="00356E7F" w:rsidRPr="00CC21C7" w:rsidRDefault="00356E7F" w:rsidP="00356E7F">
      <w:pPr>
        <w:rPr>
          <w:rFonts w:ascii="Cambria" w:hAnsi="Cambria" w:cs="Tahoma"/>
          <w:sz w:val="24"/>
          <w:szCs w:val="24"/>
        </w:rPr>
      </w:pPr>
      <w:r w:rsidRPr="00CC21C7">
        <w:rPr>
          <w:rFonts w:ascii="Cambria" w:hAnsi="Cambria" w:cs="Tahoma"/>
          <w:sz w:val="24"/>
          <w:szCs w:val="24"/>
        </w:rPr>
        <w:t xml:space="preserve">La seconda parte è dedicata a una riflessione su alcune esperienze esemplari di utilizzo della narrazione, dove l’imprescindibile contenuto conoscitivo (storico-artistico, scientifico, archeologico o antropologico che sia) si intreccia alla dimensione del racconto. Accanto alla testimonianza dei professionisti museali che hanno dato vita a queste sperimentazioni pioniere, </w:t>
      </w:r>
      <w:r w:rsidRPr="00CC21C7">
        <w:rPr>
          <w:rFonts w:ascii="Cambria" w:hAnsi="Cambria" w:cs="Tahoma"/>
          <w:i/>
          <w:sz w:val="24"/>
          <w:szCs w:val="24"/>
        </w:rPr>
        <w:t>Un patrimonio di storie</w:t>
      </w:r>
      <w:r w:rsidRPr="00CC21C7">
        <w:rPr>
          <w:rFonts w:ascii="Cambria" w:hAnsi="Cambria" w:cs="Tahoma"/>
          <w:sz w:val="24"/>
          <w:szCs w:val="24"/>
        </w:rPr>
        <w:t xml:space="preserve"> propone un significativo repertorio di narrazioni; la riproduzione a colori dell’opera o dell’oggetto che si accompagna a ognuno di questi racconti non fa che metterne in risalto la sapienza analitica ed evocativa.</w:t>
      </w:r>
    </w:p>
    <w:p w:rsidR="00356E7F" w:rsidRPr="00CC21C7" w:rsidRDefault="006E77EB" w:rsidP="00356E7F">
      <w:pPr>
        <w:rPr>
          <w:rFonts w:ascii="Cambria" w:hAnsi="Cambria" w:cs="Tahoma"/>
          <w:sz w:val="24"/>
          <w:szCs w:val="24"/>
        </w:rPr>
      </w:pPr>
      <w:r w:rsidRPr="00CC21C7">
        <w:rPr>
          <w:rFonts w:ascii="Cambria" w:hAnsi="Cambria" w:cs="Tahoma"/>
          <w:sz w:val="24"/>
          <w:szCs w:val="24"/>
        </w:rPr>
        <w:lastRenderedPageBreak/>
        <w:t>Alcuni progetti</w:t>
      </w:r>
      <w:r w:rsidR="00356E7F" w:rsidRPr="00CC21C7">
        <w:rPr>
          <w:rFonts w:ascii="Cambria" w:hAnsi="Cambria" w:cs="Tahoma"/>
          <w:sz w:val="24"/>
          <w:szCs w:val="24"/>
        </w:rPr>
        <w:t xml:space="preserve"> documentati nel volume</w:t>
      </w:r>
      <w:r w:rsidR="00183ACC" w:rsidRPr="00CC21C7">
        <w:rPr>
          <w:rFonts w:ascii="Cambria" w:hAnsi="Cambria" w:cs="Tahoma"/>
          <w:sz w:val="24"/>
          <w:szCs w:val="24"/>
        </w:rPr>
        <w:t xml:space="preserve"> sono </w:t>
      </w:r>
      <w:r w:rsidRPr="00CC21C7">
        <w:rPr>
          <w:rFonts w:ascii="Cambria" w:hAnsi="Cambria" w:cs="Tahoma"/>
          <w:sz w:val="24"/>
          <w:szCs w:val="24"/>
        </w:rPr>
        <w:t xml:space="preserve">specificamente </w:t>
      </w:r>
      <w:r w:rsidR="00183ACC" w:rsidRPr="00CC21C7">
        <w:rPr>
          <w:rFonts w:ascii="Cambria" w:hAnsi="Cambria" w:cs="Tahoma"/>
          <w:sz w:val="24"/>
          <w:szCs w:val="24"/>
        </w:rPr>
        <w:t>dedicati a promuovere una partecipazione attiva dei “nuovi cittadini” e una rilettura del patrimonio in chiave interculturale</w:t>
      </w:r>
      <w:r w:rsidR="00C91B02" w:rsidRPr="00CC21C7">
        <w:rPr>
          <w:rFonts w:ascii="Cambria" w:hAnsi="Cambria" w:cs="Tahoma"/>
          <w:sz w:val="24"/>
          <w:szCs w:val="24"/>
        </w:rPr>
        <w:t xml:space="preserve"> (“Brera: un’altra sto</w:t>
      </w:r>
      <w:r w:rsidR="00423906" w:rsidRPr="00CC21C7">
        <w:rPr>
          <w:rFonts w:ascii="Cambria" w:hAnsi="Cambria" w:cs="Tahoma"/>
          <w:sz w:val="24"/>
          <w:szCs w:val="24"/>
        </w:rPr>
        <w:t>ria”,</w:t>
      </w:r>
      <w:r w:rsidR="00C91B02" w:rsidRPr="00CC21C7">
        <w:rPr>
          <w:rFonts w:ascii="Cambria" w:hAnsi="Cambria" w:cs="Tahoma"/>
          <w:sz w:val="24"/>
          <w:szCs w:val="24"/>
        </w:rPr>
        <w:t xml:space="preserve"> Pinacoteca di Brera; “12 narratori in cerca d’autore”, Galleria d’Arte Moderna e Contemporanea di Bergamo; “TAM </w:t>
      </w:r>
      <w:proofErr w:type="spellStart"/>
      <w:r w:rsidR="00C91B02" w:rsidRPr="00CC21C7">
        <w:rPr>
          <w:rFonts w:ascii="Cambria" w:hAnsi="Cambria" w:cs="Tahoma"/>
          <w:sz w:val="24"/>
          <w:szCs w:val="24"/>
        </w:rPr>
        <w:t>TAM</w:t>
      </w:r>
      <w:proofErr w:type="spellEnd"/>
      <w:r w:rsidR="00C91B02" w:rsidRPr="00CC21C7">
        <w:rPr>
          <w:rFonts w:ascii="Cambria" w:hAnsi="Cambria" w:cs="Tahoma"/>
          <w:sz w:val="24"/>
          <w:szCs w:val="24"/>
        </w:rPr>
        <w:t xml:space="preserve"> – Tutti Al Museo”, Museo Popoli e Culture del </w:t>
      </w:r>
      <w:proofErr w:type="spellStart"/>
      <w:r w:rsidR="00C91B02" w:rsidRPr="00CC21C7">
        <w:rPr>
          <w:rFonts w:ascii="Cambria" w:hAnsi="Cambria" w:cs="Tahoma"/>
          <w:sz w:val="24"/>
          <w:szCs w:val="24"/>
        </w:rPr>
        <w:t>Pime</w:t>
      </w:r>
      <w:proofErr w:type="spellEnd"/>
      <w:r w:rsidR="00C91B02" w:rsidRPr="00CC21C7">
        <w:rPr>
          <w:rFonts w:ascii="Cambria" w:hAnsi="Cambria" w:cs="Tahoma"/>
          <w:sz w:val="24"/>
          <w:szCs w:val="24"/>
        </w:rPr>
        <w:t>; “Il mio Iran”, MAXXI – Museo Nazionale delle Arti del XXI secolo)</w:t>
      </w:r>
      <w:r w:rsidR="00E23E53" w:rsidRPr="00CC21C7">
        <w:rPr>
          <w:rFonts w:ascii="Cambria" w:hAnsi="Cambria" w:cs="Tahoma"/>
          <w:sz w:val="24"/>
          <w:szCs w:val="24"/>
        </w:rPr>
        <w:t>, mentre</w:t>
      </w:r>
      <w:r w:rsidR="00183ACC" w:rsidRPr="00CC21C7">
        <w:rPr>
          <w:rFonts w:ascii="Cambria" w:hAnsi="Cambria" w:cs="Tahoma"/>
          <w:sz w:val="24"/>
          <w:szCs w:val="24"/>
        </w:rPr>
        <w:t xml:space="preserve"> </w:t>
      </w:r>
      <w:r w:rsidRPr="00CC21C7">
        <w:rPr>
          <w:rFonts w:ascii="Cambria" w:hAnsi="Cambria" w:cs="Tahoma"/>
          <w:sz w:val="24"/>
          <w:szCs w:val="24"/>
        </w:rPr>
        <w:t>altri</w:t>
      </w:r>
      <w:r w:rsidR="00E23E53" w:rsidRPr="00CC21C7">
        <w:rPr>
          <w:rFonts w:ascii="Cambria" w:hAnsi="Cambria" w:cs="Tahoma"/>
          <w:sz w:val="24"/>
          <w:szCs w:val="24"/>
        </w:rPr>
        <w:t xml:space="preserve"> </w:t>
      </w:r>
      <w:r w:rsidRPr="00CC21C7">
        <w:rPr>
          <w:rFonts w:ascii="Cambria" w:hAnsi="Cambria" w:cs="Tahoma"/>
          <w:sz w:val="24"/>
          <w:szCs w:val="24"/>
        </w:rPr>
        <w:t>si sono rivolti</w:t>
      </w:r>
      <w:r w:rsidR="00183ACC" w:rsidRPr="00CC21C7">
        <w:rPr>
          <w:rFonts w:ascii="Cambria" w:hAnsi="Cambria" w:cs="Tahoma"/>
          <w:sz w:val="24"/>
          <w:szCs w:val="24"/>
        </w:rPr>
        <w:t xml:space="preserve"> a una pluralità di destinatari</w:t>
      </w:r>
      <w:r w:rsidR="00E23E53" w:rsidRPr="00CC21C7">
        <w:rPr>
          <w:rFonts w:ascii="Cambria" w:hAnsi="Cambria" w:cs="Tahoma"/>
          <w:sz w:val="24"/>
          <w:szCs w:val="24"/>
        </w:rPr>
        <w:t>,</w:t>
      </w:r>
      <w:r w:rsidR="00183ACC" w:rsidRPr="00CC21C7">
        <w:rPr>
          <w:rFonts w:ascii="Cambria" w:hAnsi="Cambria" w:cs="Tahoma"/>
          <w:sz w:val="24"/>
          <w:szCs w:val="24"/>
        </w:rPr>
        <w:t xml:space="preserve"> dagli anziani alle person</w:t>
      </w:r>
      <w:r w:rsidR="00E23E53" w:rsidRPr="00CC21C7">
        <w:rPr>
          <w:rFonts w:ascii="Cambria" w:hAnsi="Cambria" w:cs="Tahoma"/>
          <w:sz w:val="24"/>
          <w:szCs w:val="24"/>
        </w:rPr>
        <w:t xml:space="preserve">e con disabilità sensoriali, </w:t>
      </w:r>
      <w:r w:rsidR="00C91B02" w:rsidRPr="00CC21C7">
        <w:rPr>
          <w:rFonts w:ascii="Cambria" w:hAnsi="Cambria" w:cs="Tahoma"/>
          <w:sz w:val="24"/>
          <w:szCs w:val="24"/>
        </w:rPr>
        <w:t xml:space="preserve">dai rifugiati ai detenuti, </w:t>
      </w:r>
      <w:r w:rsidR="00E23E53" w:rsidRPr="00CC21C7">
        <w:rPr>
          <w:rFonts w:ascii="Cambria" w:hAnsi="Cambria" w:cs="Tahoma"/>
          <w:sz w:val="24"/>
          <w:szCs w:val="24"/>
        </w:rPr>
        <w:t>dagli studenti ai</w:t>
      </w:r>
      <w:r w:rsidR="00183ACC" w:rsidRPr="00CC21C7">
        <w:rPr>
          <w:rFonts w:ascii="Cambria" w:hAnsi="Cambria" w:cs="Tahoma"/>
          <w:sz w:val="24"/>
          <w:szCs w:val="24"/>
        </w:rPr>
        <w:t xml:space="preserve"> giovani </w:t>
      </w:r>
      <w:r w:rsidR="00E23E53" w:rsidRPr="00CC21C7">
        <w:rPr>
          <w:rFonts w:ascii="Cambria" w:hAnsi="Cambria" w:cs="Tahoma"/>
          <w:sz w:val="24"/>
          <w:szCs w:val="24"/>
        </w:rPr>
        <w:t>adu</w:t>
      </w:r>
      <w:r w:rsidR="00C91B02" w:rsidRPr="00CC21C7">
        <w:rPr>
          <w:rFonts w:ascii="Cambria" w:hAnsi="Cambria" w:cs="Tahoma"/>
          <w:sz w:val="24"/>
          <w:szCs w:val="24"/>
        </w:rPr>
        <w:t>lti (“#</w:t>
      </w:r>
      <w:proofErr w:type="spellStart"/>
      <w:r w:rsidR="00C91B02" w:rsidRPr="00CC21C7">
        <w:rPr>
          <w:rFonts w:ascii="Cambria" w:hAnsi="Cambria" w:cs="Tahoma"/>
          <w:sz w:val="24"/>
          <w:szCs w:val="24"/>
        </w:rPr>
        <w:t>raccontamibrera</w:t>
      </w:r>
      <w:proofErr w:type="spellEnd"/>
      <w:r w:rsidR="00C91B02" w:rsidRPr="00CC21C7">
        <w:rPr>
          <w:rFonts w:ascii="Cambria" w:hAnsi="Cambria" w:cs="Tahoma"/>
          <w:sz w:val="24"/>
          <w:szCs w:val="24"/>
        </w:rPr>
        <w:t xml:space="preserve">”, Pinacoteca di Brera; “Al Museo con. Patrimoni narrati per musei accoglienti”, Museo Nazionale Preistorico Etnografico “Luigi </w:t>
      </w:r>
      <w:proofErr w:type="spellStart"/>
      <w:r w:rsidR="00C91B02" w:rsidRPr="00CC21C7">
        <w:rPr>
          <w:rFonts w:ascii="Cambria" w:hAnsi="Cambria" w:cs="Tahoma"/>
          <w:sz w:val="24"/>
          <w:szCs w:val="24"/>
        </w:rPr>
        <w:t>Pigorini</w:t>
      </w:r>
      <w:proofErr w:type="spellEnd"/>
      <w:r w:rsidR="00C91B02" w:rsidRPr="00CC21C7">
        <w:rPr>
          <w:rFonts w:ascii="Cambria" w:hAnsi="Cambria" w:cs="Tahoma"/>
          <w:sz w:val="24"/>
          <w:szCs w:val="24"/>
        </w:rPr>
        <w:t xml:space="preserve">”; </w:t>
      </w:r>
      <w:r w:rsidRPr="00CC21C7">
        <w:rPr>
          <w:rFonts w:ascii="Cambria" w:hAnsi="Cambria" w:cs="Tahoma"/>
          <w:sz w:val="24"/>
          <w:szCs w:val="24"/>
        </w:rPr>
        <w:t>“</w:t>
      </w:r>
      <w:r w:rsidR="00C91B02" w:rsidRPr="00CC21C7">
        <w:rPr>
          <w:rFonts w:ascii="Cambria" w:hAnsi="Cambria" w:cs="Tahoma"/>
          <w:sz w:val="24"/>
          <w:szCs w:val="24"/>
        </w:rPr>
        <w:t>DIAMOND - Il Museo come spazio di dialogo e costruzione culturale”</w:t>
      </w:r>
      <w:r w:rsidRPr="00CC21C7">
        <w:rPr>
          <w:rFonts w:ascii="Cambria" w:hAnsi="Cambria" w:cs="Tahoma"/>
          <w:sz w:val="24"/>
          <w:szCs w:val="24"/>
        </w:rPr>
        <w:t xml:space="preserve">, </w:t>
      </w:r>
      <w:r w:rsidR="00C91B02" w:rsidRPr="00CC21C7">
        <w:rPr>
          <w:rFonts w:ascii="Cambria" w:hAnsi="Cambria" w:cs="Tahoma"/>
          <w:sz w:val="24"/>
          <w:szCs w:val="24"/>
        </w:rPr>
        <w:t>Museo Civico di Zoologia di Roma</w:t>
      </w:r>
      <w:r w:rsidR="00356E7F" w:rsidRPr="00CC21C7">
        <w:rPr>
          <w:rFonts w:ascii="Cambria" w:hAnsi="Cambria" w:cs="Tahoma"/>
          <w:sz w:val="24"/>
          <w:szCs w:val="24"/>
        </w:rPr>
        <w:t xml:space="preserve">). </w:t>
      </w:r>
    </w:p>
    <w:p w:rsidR="00356E7F" w:rsidRPr="00CC21C7" w:rsidRDefault="00356E7F" w:rsidP="00356E7F">
      <w:pPr>
        <w:rPr>
          <w:rFonts w:ascii="Cambria" w:hAnsi="Cambria" w:cs="Tahoma"/>
          <w:sz w:val="24"/>
          <w:szCs w:val="24"/>
        </w:rPr>
      </w:pPr>
      <w:r w:rsidRPr="00CC21C7">
        <w:rPr>
          <w:rFonts w:ascii="Cambria" w:hAnsi="Cambria" w:cs="Tahoma"/>
          <w:sz w:val="24"/>
          <w:szCs w:val="24"/>
        </w:rPr>
        <w:t xml:space="preserve">Il libro è corredato da un CD nel quale sono incluse </w:t>
      </w:r>
      <w:r w:rsidRPr="00CC21C7">
        <w:rPr>
          <w:rFonts w:ascii="Cambria" w:hAnsi="Cambria" w:cs="Tahoma"/>
          <w:i/>
          <w:sz w:val="24"/>
          <w:szCs w:val="24"/>
        </w:rPr>
        <w:t>tutte</w:t>
      </w:r>
      <w:r w:rsidRPr="00CC21C7">
        <w:rPr>
          <w:rFonts w:ascii="Cambria" w:hAnsi="Cambria" w:cs="Tahoma"/>
          <w:sz w:val="24"/>
          <w:szCs w:val="24"/>
        </w:rPr>
        <w:t xml:space="preserve"> le narrazioni prodotte nell’ambito delle esperienze sopra elencate (85 in tutto), nonché le schede dettagliate di ogni progetto: dagli obiettivi alle fasi di lavoro, dalle strategie e gli strumenti all’azione valutativa. Questo materiale può essere utilizzato sia dai professionisti del museo interessati ad attivare sperimentazioni sul fronte della narrazione, sia nei contesti educativo-didattici e della formazione degli operatori che lavorano con gli adulti in ambiti</w:t>
      </w:r>
      <w:r w:rsidR="00423906" w:rsidRPr="00CC21C7">
        <w:rPr>
          <w:rFonts w:ascii="Cambria" w:hAnsi="Cambria" w:cs="Tahoma"/>
          <w:sz w:val="24"/>
          <w:szCs w:val="24"/>
        </w:rPr>
        <w:t xml:space="preserve"> diversi.</w:t>
      </w:r>
    </w:p>
    <w:p w:rsidR="00356E7F" w:rsidRPr="00CC21C7" w:rsidRDefault="00356E7F" w:rsidP="00356E7F">
      <w:pPr>
        <w:rPr>
          <w:rFonts w:ascii="Cambria" w:hAnsi="Cambria" w:cs="Tahoma"/>
          <w:sz w:val="24"/>
          <w:szCs w:val="24"/>
        </w:rPr>
      </w:pPr>
      <w:r w:rsidRPr="00CC21C7">
        <w:rPr>
          <w:rFonts w:ascii="Cambria" w:hAnsi="Cambria" w:cs="Tahoma"/>
          <w:sz w:val="24"/>
          <w:szCs w:val="24"/>
        </w:rPr>
        <w:t>Ma anche i non “addetti ai lavori” potranno rintracciare nei tanti racconti pubblicati memorie e significati per vivere e far rivivere dipinti e oggetti, reperti e monumenti. Che sanno parlare di noi e del nostro esistere.</w:t>
      </w:r>
    </w:p>
    <w:p w:rsidR="00356E7F" w:rsidRPr="00CC21C7" w:rsidRDefault="00356E7F" w:rsidP="00356E7F">
      <w:pPr>
        <w:rPr>
          <w:rFonts w:ascii="Cambria" w:hAnsi="Cambria" w:cs="Tahoma"/>
          <w:sz w:val="24"/>
          <w:szCs w:val="24"/>
        </w:rPr>
      </w:pPr>
    </w:p>
    <w:p w:rsidR="00376584" w:rsidRPr="00CC21C7" w:rsidRDefault="00376584" w:rsidP="00356E7F">
      <w:pPr>
        <w:rPr>
          <w:rFonts w:ascii="Cambria" w:hAnsi="Cambria" w:cs="Tahoma"/>
          <w:sz w:val="24"/>
          <w:szCs w:val="24"/>
        </w:rPr>
      </w:pPr>
    </w:p>
    <w:p w:rsidR="00FF1048" w:rsidRPr="00CC21C7" w:rsidRDefault="00FF1048" w:rsidP="00356E7F">
      <w:pPr>
        <w:pStyle w:val="Testonormale"/>
        <w:rPr>
          <w:rFonts w:ascii="Cambria" w:hAnsi="Cambria" w:cs="Tahoma"/>
          <w:b/>
          <w:sz w:val="24"/>
          <w:szCs w:val="24"/>
        </w:rPr>
      </w:pPr>
      <w:r w:rsidRPr="00CC21C7">
        <w:rPr>
          <w:rFonts w:ascii="Cambria" w:hAnsi="Cambria" w:cs="Tahoma"/>
          <w:b/>
          <w:sz w:val="24"/>
          <w:szCs w:val="24"/>
        </w:rPr>
        <w:t xml:space="preserve">Il volume </w:t>
      </w:r>
      <w:r w:rsidR="00211BB7" w:rsidRPr="00CC21C7">
        <w:rPr>
          <w:rFonts w:ascii="Cambria" w:hAnsi="Cambria" w:cs="Tahoma"/>
          <w:b/>
          <w:sz w:val="24"/>
          <w:szCs w:val="24"/>
        </w:rPr>
        <w:t>è</w:t>
      </w:r>
      <w:r w:rsidRPr="00CC21C7">
        <w:rPr>
          <w:rFonts w:ascii="Cambria" w:hAnsi="Cambria" w:cs="Tahoma"/>
          <w:b/>
          <w:sz w:val="24"/>
          <w:szCs w:val="24"/>
        </w:rPr>
        <w:t xml:space="preserve"> disponibile in libreria </w:t>
      </w:r>
      <w:r w:rsidR="00720104" w:rsidRPr="00CC21C7">
        <w:rPr>
          <w:rFonts w:ascii="Cambria" w:hAnsi="Cambria" w:cs="Tahoma"/>
          <w:b/>
          <w:sz w:val="24"/>
          <w:szCs w:val="24"/>
        </w:rPr>
        <w:t xml:space="preserve">e on-line </w:t>
      </w:r>
    </w:p>
    <w:p w:rsidR="00FF1048" w:rsidRPr="00CC21C7" w:rsidRDefault="005642BA" w:rsidP="00356E7F">
      <w:pPr>
        <w:pStyle w:val="Testonormale"/>
        <w:rPr>
          <w:rFonts w:ascii="Cambria" w:hAnsi="Cambria" w:cs="Tahoma"/>
          <w:sz w:val="24"/>
          <w:szCs w:val="24"/>
        </w:rPr>
      </w:pPr>
      <w:r w:rsidRPr="00CC21C7">
        <w:rPr>
          <w:rFonts w:ascii="Cambria" w:hAnsi="Cambria" w:cs="Tahoma"/>
          <w:sz w:val="24"/>
          <w:szCs w:val="24"/>
        </w:rPr>
        <w:t>Per ordini a</w:t>
      </w:r>
      <w:r w:rsidR="00FF1048" w:rsidRPr="00CC21C7">
        <w:rPr>
          <w:rFonts w:ascii="Cambria" w:hAnsi="Cambria" w:cs="Tahoma"/>
          <w:sz w:val="24"/>
          <w:szCs w:val="24"/>
        </w:rPr>
        <w:t xml:space="preserve"> </w:t>
      </w:r>
      <w:proofErr w:type="spellStart"/>
      <w:r w:rsidR="00FF1048" w:rsidRPr="00CC21C7">
        <w:rPr>
          <w:rFonts w:ascii="Cambria" w:hAnsi="Cambria" w:cs="Tahoma"/>
          <w:sz w:val="24"/>
          <w:szCs w:val="24"/>
        </w:rPr>
        <w:t>Mimesis</w:t>
      </w:r>
      <w:proofErr w:type="spellEnd"/>
      <w:r w:rsidR="00FF1048" w:rsidRPr="00CC21C7">
        <w:rPr>
          <w:rFonts w:ascii="Cambria" w:hAnsi="Cambria" w:cs="Tahoma"/>
          <w:sz w:val="24"/>
          <w:szCs w:val="24"/>
        </w:rPr>
        <w:t xml:space="preserve"> Edizioni</w:t>
      </w:r>
      <w:r w:rsidRPr="00CC21C7">
        <w:rPr>
          <w:rFonts w:ascii="Cambria" w:hAnsi="Cambria" w:cs="Tahoma"/>
          <w:sz w:val="24"/>
          <w:szCs w:val="24"/>
        </w:rPr>
        <w:t>:</w:t>
      </w:r>
      <w:r w:rsidR="00FF1048" w:rsidRPr="00CC21C7">
        <w:rPr>
          <w:rFonts w:ascii="Cambria" w:hAnsi="Cambria" w:cs="Tahoma"/>
          <w:sz w:val="24"/>
          <w:szCs w:val="24"/>
        </w:rPr>
        <w:t xml:space="preserve"> </w:t>
      </w:r>
      <w:hyperlink r:id="rId6" w:history="1">
        <w:r w:rsidR="00FF1048" w:rsidRPr="00CC21C7">
          <w:rPr>
            <w:rStyle w:val="Collegamentoipertestuale"/>
            <w:rFonts w:ascii="Cambria" w:hAnsi="Cambria" w:cs="Tahoma"/>
            <w:sz w:val="24"/>
            <w:szCs w:val="24"/>
          </w:rPr>
          <w:t>ordini@mimesisedizioni.it</w:t>
        </w:r>
      </w:hyperlink>
    </w:p>
    <w:p w:rsidR="00FF1048" w:rsidRPr="00CC21C7" w:rsidRDefault="00FF1048" w:rsidP="00356E7F">
      <w:pPr>
        <w:rPr>
          <w:rFonts w:ascii="Cambria" w:hAnsi="Cambria" w:cs="Tahoma"/>
          <w:sz w:val="24"/>
          <w:szCs w:val="24"/>
        </w:rPr>
      </w:pPr>
    </w:p>
    <w:sectPr w:rsidR="00FF1048" w:rsidRPr="00CC21C7" w:rsidSect="00863743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048"/>
    <w:rsid w:val="00046470"/>
    <w:rsid w:val="00053E0B"/>
    <w:rsid w:val="00183ACC"/>
    <w:rsid w:val="00205BD7"/>
    <w:rsid w:val="00211BB7"/>
    <w:rsid w:val="002C72A0"/>
    <w:rsid w:val="00356E7F"/>
    <w:rsid w:val="00376584"/>
    <w:rsid w:val="003E6A8C"/>
    <w:rsid w:val="00423906"/>
    <w:rsid w:val="00487985"/>
    <w:rsid w:val="005642BA"/>
    <w:rsid w:val="006E77EB"/>
    <w:rsid w:val="00720104"/>
    <w:rsid w:val="007A076B"/>
    <w:rsid w:val="007A167B"/>
    <w:rsid w:val="00863743"/>
    <w:rsid w:val="008E5E91"/>
    <w:rsid w:val="00A51CB0"/>
    <w:rsid w:val="00AC6C6E"/>
    <w:rsid w:val="00B3143B"/>
    <w:rsid w:val="00BD1F91"/>
    <w:rsid w:val="00C91B02"/>
    <w:rsid w:val="00CC21C7"/>
    <w:rsid w:val="00D37D9E"/>
    <w:rsid w:val="00D65C32"/>
    <w:rsid w:val="00E23E53"/>
    <w:rsid w:val="00E42458"/>
    <w:rsid w:val="00EE1B6E"/>
    <w:rsid w:val="00FF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7658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FF1048"/>
    <w:rPr>
      <w:color w:val="0000FF" w:themeColor="hyperlink"/>
      <w:u w:val="single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FF1048"/>
    <w:pPr>
      <w:jc w:val="left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FF1048"/>
    <w:rPr>
      <w:rFonts w:ascii="Consolas" w:hAnsi="Consolas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6E7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56E7F"/>
    <w:rPr>
      <w:rFonts w:ascii="Tahoma" w:hAnsi="Tahoma" w:cs="Tahoma"/>
      <w:sz w:val="16"/>
      <w:szCs w:val="16"/>
    </w:rPr>
  </w:style>
  <w:style w:type="character" w:customStyle="1" w:styleId="reference-text">
    <w:name w:val="reference-text"/>
    <w:basedOn w:val="Carpredefinitoparagrafo"/>
    <w:rsid w:val="00E23E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7658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FF1048"/>
    <w:rPr>
      <w:color w:val="0000FF" w:themeColor="hyperlink"/>
      <w:u w:val="single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FF1048"/>
    <w:pPr>
      <w:jc w:val="left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FF1048"/>
    <w:rPr>
      <w:rFonts w:ascii="Consolas" w:hAnsi="Consolas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6E7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56E7F"/>
    <w:rPr>
      <w:rFonts w:ascii="Tahoma" w:hAnsi="Tahoma" w:cs="Tahoma"/>
      <w:sz w:val="16"/>
      <w:szCs w:val="16"/>
    </w:rPr>
  </w:style>
  <w:style w:type="character" w:customStyle="1" w:styleId="reference-text">
    <w:name w:val="reference-text"/>
    <w:basedOn w:val="Carpredefinitoparagrafo"/>
    <w:rsid w:val="00E23E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870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ordini@mimesisedizioni.it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</dc:creator>
  <cp:lastModifiedBy>SILVIA BARLACCHI</cp:lastModifiedBy>
  <cp:revision>3</cp:revision>
  <cp:lastPrinted>2017-05-02T09:56:00Z</cp:lastPrinted>
  <dcterms:created xsi:type="dcterms:W3CDTF">2017-04-10T07:48:00Z</dcterms:created>
  <dcterms:modified xsi:type="dcterms:W3CDTF">2017-05-02T09:56:00Z</dcterms:modified>
</cp:coreProperties>
</file>